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1E854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A7B67">
        <w:rPr>
          <w:rFonts w:ascii="Verdana" w:hAnsi="Verdana"/>
          <w:b/>
          <w:bCs/>
          <w:sz w:val="18"/>
          <w:szCs w:val="18"/>
        </w:rPr>
        <w:t>„Modernizace osvětlení ve vybraných lokalitách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3672BF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7B67">
        <w:rPr>
          <w:rFonts w:ascii="Verdana" w:hAnsi="Verdana"/>
          <w:sz w:val="18"/>
          <w:szCs w:val="18"/>
        </w:rPr>
      </w:r>
      <w:r w:rsidR="00DA7B6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A7B67">
        <w:rPr>
          <w:rFonts w:ascii="Verdana" w:hAnsi="Verdana"/>
          <w:b/>
          <w:bCs/>
          <w:sz w:val="18"/>
          <w:szCs w:val="18"/>
        </w:rPr>
        <w:t>„Modernizace osvětlení ve vybraných lokalitách 2024“</w:t>
      </w:r>
      <w:r w:rsidR="00DA7B6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AF4E4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7B67">
        <w:rPr>
          <w:rFonts w:ascii="Verdana" w:hAnsi="Verdana"/>
          <w:sz w:val="18"/>
          <w:szCs w:val="18"/>
        </w:rPr>
      </w:r>
      <w:r w:rsidR="00DA7B6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A7B67">
        <w:rPr>
          <w:rFonts w:ascii="Verdana" w:hAnsi="Verdana"/>
          <w:b/>
          <w:bCs/>
          <w:sz w:val="18"/>
          <w:szCs w:val="18"/>
        </w:rPr>
        <w:t>„Modernizace osvětlení ve vybraných lokalitách 2024“</w:t>
      </w:r>
      <w:r w:rsidR="00DA7B6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B857BD1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DA7B67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9719749">
    <w:abstractNumId w:val="5"/>
  </w:num>
  <w:num w:numId="2" w16cid:durableId="892350468">
    <w:abstractNumId w:val="1"/>
  </w:num>
  <w:num w:numId="3" w16cid:durableId="855464582">
    <w:abstractNumId w:val="2"/>
  </w:num>
  <w:num w:numId="4" w16cid:durableId="1277326087">
    <w:abstractNumId w:val="4"/>
  </w:num>
  <w:num w:numId="5" w16cid:durableId="187765842">
    <w:abstractNumId w:val="0"/>
  </w:num>
  <w:num w:numId="6" w16cid:durableId="805009255">
    <w:abstractNumId w:val="6"/>
  </w:num>
  <w:num w:numId="7" w16cid:durableId="20527310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7B67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2024-04-16T07:38:00Z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